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rPr>
          <w:rFonts w:eastAsia="黑体"/>
          <w:color w:val="FF0000"/>
          <w:kern w:val="0"/>
          <w:sz w:val="30"/>
          <w:szCs w:val="30"/>
        </w:rPr>
      </w:pPr>
    </w:p>
    <w:p>
      <w:pPr>
        <w:spacing w:line="760" w:lineRule="exact"/>
        <w:rPr>
          <w:rFonts w:eastAsia="黑体"/>
          <w:color w:val="FF0000"/>
          <w:kern w:val="0"/>
          <w:sz w:val="30"/>
          <w:szCs w:val="30"/>
        </w:rPr>
      </w:pPr>
    </w:p>
    <w:p>
      <w:pPr>
        <w:jc w:val="center"/>
        <w:rPr>
          <w:rFonts w:eastAsia="方正小标宋简体"/>
          <w:color w:val="FF0000"/>
          <w:spacing w:val="266"/>
          <w:w w:val="72"/>
          <w:kern w:val="0"/>
          <w:sz w:val="72"/>
          <w:szCs w:val="72"/>
        </w:rPr>
      </w:pPr>
      <w:r>
        <w:rPr>
          <w:rFonts w:hint="eastAsia" w:eastAsia="方正小标宋简体"/>
          <w:color w:val="FF0000"/>
          <w:w w:val="60"/>
          <w:kern w:val="0"/>
          <w:sz w:val="72"/>
          <w:szCs w:val="72"/>
        </w:rPr>
        <w:t>中共上海电子信息职业技术学院委员会文</w:t>
      </w:r>
      <w:r>
        <w:rPr>
          <w:rFonts w:hint="eastAsia" w:eastAsia="方正小标宋简体"/>
          <w:color w:val="FF0000"/>
          <w:spacing w:val="58"/>
          <w:w w:val="60"/>
          <w:kern w:val="0"/>
          <w:sz w:val="72"/>
          <w:szCs w:val="72"/>
        </w:rPr>
        <w:t>件</w:t>
      </w:r>
    </w:p>
    <w:p>
      <w:pPr>
        <w:spacing w:line="420" w:lineRule="exact"/>
        <w:rPr>
          <w:rFonts w:eastAsia="黑体"/>
          <w:sz w:val="30"/>
          <w:szCs w:val="30"/>
        </w:rPr>
      </w:pPr>
    </w:p>
    <w:p>
      <w:pPr>
        <w:spacing w:before="156" w:beforeLines="50"/>
        <w:jc w:val="center"/>
        <w:rPr>
          <w:rFonts w:ascii="华文仿宋" w:hAnsi="华文仿宋" w:eastAsia="华文仿宋"/>
          <w:sz w:val="32"/>
          <w:szCs w:val="32"/>
        </w:rPr>
      </w:pPr>
      <w:r>
        <w:rPr>
          <w:rFonts w:hint="eastAsia" w:ascii="华文仿宋" w:hAnsi="华文仿宋" w:eastAsia="华文仿宋"/>
          <w:kern w:val="0"/>
          <w:sz w:val="32"/>
          <w:szCs w:val="28"/>
        </w:rPr>
        <w:t>沪电信职院委〔2018〕2</w:t>
      </w:r>
      <w:r>
        <w:rPr>
          <w:rFonts w:hint="eastAsia" w:ascii="华文仿宋" w:hAnsi="华文仿宋" w:eastAsia="华文仿宋"/>
          <w:kern w:val="0"/>
          <w:sz w:val="32"/>
          <w:szCs w:val="28"/>
          <w:lang w:val="en-US" w:eastAsia="zh-CN"/>
        </w:rPr>
        <w:t>9</w:t>
      </w:r>
      <w:r>
        <w:rPr>
          <w:rFonts w:hint="eastAsia" w:ascii="华文仿宋" w:hAnsi="华文仿宋" w:eastAsia="华文仿宋"/>
          <w:kern w:val="0"/>
          <w:sz w:val="32"/>
          <w:szCs w:val="28"/>
        </w:rPr>
        <w:t xml:space="preserve">号   </w:t>
      </w:r>
    </w:p>
    <w:p>
      <w:pPr>
        <w:spacing w:line="240" w:lineRule="atLeast"/>
        <w:rPr>
          <w:rFonts w:hint="eastAsia" w:eastAsia="黑体"/>
          <w:color w:val="FF0000"/>
          <w:sz w:val="28"/>
          <w:szCs w:val="28"/>
          <w:u w:val="thick"/>
        </w:rPr>
      </w:pPr>
      <w:r>
        <w:rPr>
          <w:rFonts w:eastAsia="黑体"/>
          <w:color w:val="FF0000"/>
          <w:sz w:val="28"/>
          <w:szCs w:val="28"/>
          <w:u w:val="thick"/>
        </w:rPr>
        <w:t xml:space="preserve">                                                               </w:t>
      </w:r>
    </w:p>
    <w:p>
      <w:pPr>
        <w:keepNext w:val="0"/>
        <w:keepLines w:val="0"/>
        <w:pageBreakBefore w:val="0"/>
        <w:widowControl w:val="0"/>
        <w:kinsoku/>
        <w:wordWrap/>
        <w:overflowPunct/>
        <w:topLinePunct w:val="0"/>
        <w:autoSpaceDE/>
        <w:autoSpaceDN/>
        <w:bidi w:val="0"/>
        <w:adjustRightInd/>
        <w:snapToGrid/>
        <w:spacing w:before="313" w:beforeLines="100" w:line="560" w:lineRule="exact"/>
        <w:ind w:left="0" w:leftChars="0" w:right="0" w:rightChars="0" w:firstLine="0" w:firstLineChars="0"/>
        <w:jc w:val="center"/>
        <w:textAlignment w:val="auto"/>
        <w:outlineLvl w:val="9"/>
        <w:rPr>
          <w:rFonts w:hint="eastAsia" w:ascii="华文中宋" w:hAnsi="华文中宋" w:eastAsia="华文中宋" w:cs="黑体"/>
          <w:b/>
          <w:sz w:val="36"/>
          <w:szCs w:val="36"/>
          <w:lang w:eastAsia="zh-CN"/>
        </w:rPr>
      </w:pPr>
      <w:r>
        <w:rPr>
          <w:rFonts w:hint="eastAsia" w:ascii="华文中宋" w:hAnsi="华文中宋" w:eastAsia="华文中宋" w:cs="黑体"/>
          <w:b/>
          <w:sz w:val="36"/>
          <w:szCs w:val="36"/>
          <w:lang w:eastAsia="zh-CN"/>
        </w:rPr>
        <w:t>上海电子信息职业技术学院</w:t>
      </w:r>
    </w:p>
    <w:p>
      <w:pPr>
        <w:spacing w:line="560" w:lineRule="exact"/>
        <w:jc w:val="center"/>
        <w:rPr>
          <w:rFonts w:hint="eastAsia"/>
          <w:b/>
          <w:w w:val="90"/>
          <w:sz w:val="32"/>
          <w:szCs w:val="32"/>
        </w:rPr>
      </w:pPr>
      <w:r>
        <w:rPr>
          <w:rFonts w:hint="eastAsia" w:ascii="华文中宋" w:hAnsi="华文中宋" w:eastAsia="华文中宋" w:cs="黑体"/>
          <w:b/>
          <w:w w:val="90"/>
          <w:sz w:val="36"/>
          <w:szCs w:val="36"/>
          <w:lang w:eastAsia="zh-CN"/>
        </w:rPr>
        <w:t>关于加强全面从严治党“四责协同”机制建设的实施意见</w:t>
      </w:r>
    </w:p>
    <w:p>
      <w:pPr>
        <w:spacing w:beforeLines="50" w:line="500" w:lineRule="exact"/>
        <w:rPr>
          <w:rFonts w:ascii="仿宋_GB2312" w:eastAsia="仿宋_GB2312"/>
          <w:sz w:val="32"/>
          <w:szCs w:val="32"/>
        </w:rPr>
      </w:pPr>
      <w:r>
        <w:rPr>
          <w:rFonts w:ascii="仿宋_GB2312" w:eastAsia="仿宋_GB2312"/>
          <w:sz w:val="32"/>
          <w:szCs w:val="32"/>
        </w:rPr>
        <w:t>各</w:t>
      </w:r>
      <w:r>
        <w:rPr>
          <w:rFonts w:hint="eastAsia" w:ascii="仿宋_GB2312" w:eastAsia="仿宋_GB2312"/>
          <w:sz w:val="32"/>
          <w:szCs w:val="32"/>
        </w:rPr>
        <w:t>党总支</w:t>
      </w:r>
      <w:r>
        <w:rPr>
          <w:rFonts w:hint="eastAsia" w:ascii="仿宋_GB2312" w:eastAsia="仿宋_GB2312"/>
          <w:sz w:val="32"/>
          <w:szCs w:val="32"/>
          <w:lang w:eastAsia="zh-CN"/>
        </w:rPr>
        <w:t>，</w:t>
      </w:r>
      <w:r>
        <w:rPr>
          <w:rFonts w:ascii="仿宋_GB2312" w:eastAsia="仿宋_GB2312"/>
          <w:sz w:val="32"/>
          <w:szCs w:val="32"/>
        </w:rPr>
        <w:t>各教学单位、职能部门</w:t>
      </w:r>
      <w:r>
        <w:rPr>
          <w:rFonts w:hint="eastAsia" w:ascii="仿宋_GB2312" w:eastAsia="仿宋_GB2312"/>
          <w:sz w:val="32"/>
          <w:szCs w:val="32"/>
        </w:rPr>
        <w:t>：</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为深入贯彻落实习近平新时代中国特色社会主义思想和党的十九大精神以及上海市第十一次党代会精神</w:t>
      </w:r>
      <w:r>
        <w:rPr>
          <w:rFonts w:hint="eastAsia" w:ascii="仿宋_GB2312" w:eastAsia="仿宋_GB2312"/>
          <w:sz w:val="32"/>
          <w:szCs w:val="32"/>
          <w:lang w:eastAsia="zh-CN"/>
        </w:rPr>
        <w:t>，</w:t>
      </w:r>
      <w:r>
        <w:rPr>
          <w:rFonts w:hint="eastAsia" w:ascii="仿宋_GB2312" w:eastAsia="仿宋_GB2312"/>
          <w:sz w:val="32"/>
          <w:szCs w:val="32"/>
        </w:rPr>
        <w:t>建立健全党委主体责任、纪委监督责任、党委书记第一责任、班子成员一岗双责的“四责协同”机制，不断推动深化全面从严治党向纵深发展，结合学院工作实际</w:t>
      </w:r>
      <w:r>
        <w:rPr>
          <w:rFonts w:hint="eastAsia" w:ascii="仿宋_GB2312" w:eastAsia="仿宋_GB2312"/>
          <w:sz w:val="32"/>
          <w:szCs w:val="32"/>
          <w:lang w:eastAsia="zh-CN"/>
        </w:rPr>
        <w:t>，</w:t>
      </w:r>
      <w:r>
        <w:rPr>
          <w:rFonts w:hint="eastAsia" w:ascii="仿宋_GB2312" w:eastAsia="仿宋_GB2312"/>
          <w:sz w:val="32"/>
          <w:szCs w:val="32"/>
        </w:rPr>
        <w:t>现制定《上海电子信息职业技术学院关于加强全面从严治党“四责协同”机制建设的实施意见》，并予以印发，请遵照执行。</w:t>
      </w:r>
    </w:p>
    <w:p>
      <w:pPr>
        <w:spacing w:line="560" w:lineRule="exact"/>
        <w:ind w:firstLine="640" w:firstLineChars="200"/>
        <w:rPr>
          <w:rFonts w:hint="eastAsia" w:ascii="仿宋_GB2312" w:hAnsi="仿宋" w:eastAsia="仿宋_GB2312" w:cs="仿宋"/>
          <w:sz w:val="32"/>
          <w:szCs w:val="32"/>
        </w:rPr>
      </w:pPr>
      <w:r>
        <w:rPr>
          <w:rFonts w:hint="eastAsia" w:ascii="仿宋_GB2312" w:eastAsia="仿宋_GB2312"/>
          <w:sz w:val="32"/>
          <w:szCs w:val="32"/>
        </w:rPr>
        <w:t>特此通知。</w:t>
      </w:r>
      <w:r>
        <w:rPr>
          <w:rFonts w:hint="eastAsia" w:ascii="仿宋_GB2312" w:hAnsi="仿宋" w:eastAsia="仿宋_GB2312" w:cs="仿宋"/>
          <w:sz w:val="32"/>
          <w:szCs w:val="32"/>
        </w:rPr>
        <w:t xml:space="preserve"> </w:t>
      </w:r>
    </w:p>
    <w:p>
      <w:pPr>
        <w:spacing w:line="500" w:lineRule="exact"/>
        <w:ind w:left="1598" w:leftChars="304" w:hanging="960" w:hangingChars="300"/>
        <w:rPr>
          <w:rFonts w:hint="eastAsia" w:ascii="仿宋_GB2312" w:hAnsi="仿宋" w:eastAsia="仿宋_GB2312" w:cs="仿宋"/>
          <w:sz w:val="32"/>
          <w:szCs w:val="32"/>
        </w:rPr>
      </w:pPr>
      <w:r>
        <w:rPr>
          <w:rFonts w:hint="eastAsia" w:ascii="仿宋_GB2312" w:hAnsi="仿宋" w:eastAsia="仿宋_GB2312" w:cs="仿宋"/>
          <w:sz w:val="32"/>
          <w:szCs w:val="32"/>
        </w:rPr>
        <w:t>附件：上海电子信息职业技术学院关于加强全面从严治党“四责协同”机制建设的实施意见</w:t>
      </w:r>
    </w:p>
    <w:p>
      <w:pPr>
        <w:spacing w:line="500" w:lineRule="exact"/>
        <w:ind w:firstLine="640"/>
        <w:rPr>
          <w:rFonts w:hint="eastAsia" w:ascii="仿宋_GB2312" w:hAnsi="仿宋" w:eastAsia="仿宋_GB2312" w:cs="仿宋"/>
          <w:sz w:val="32"/>
          <w:szCs w:val="32"/>
        </w:rPr>
      </w:pPr>
    </w:p>
    <w:p>
      <w:pPr>
        <w:spacing w:line="500" w:lineRule="exact"/>
        <w:rPr>
          <w:rFonts w:ascii="仿宋_GB2312" w:hAnsi="仿宋" w:eastAsia="仿宋_GB2312" w:cs="仿宋"/>
          <w:sz w:val="32"/>
          <w:szCs w:val="32"/>
        </w:rPr>
      </w:pPr>
      <w:r>
        <w:rPr>
          <w:rFonts w:hint="eastAsia" w:ascii="仿宋_GB2312" w:hAnsi="仿宋" w:eastAsia="仿宋_GB2312" w:cs="仿宋"/>
          <w:sz w:val="32"/>
          <w:szCs w:val="32"/>
        </w:rPr>
        <w:t xml:space="preserve">                 中共上海电子信息职业技术学院委员会</w:t>
      </w:r>
    </w:p>
    <w:p>
      <w:pPr>
        <w:spacing w:line="360" w:lineRule="auto"/>
        <w:ind w:firstLine="160" w:firstLineChars="50"/>
        <w:rPr>
          <w:rFonts w:ascii="黑体" w:hAnsi="黑体" w:eastAsia="黑体"/>
          <w:b/>
          <w:sz w:val="30"/>
          <w:szCs w:val="30"/>
        </w:rPr>
      </w:pPr>
      <w:r>
        <w:rPr>
          <w:rFonts w:hint="eastAsia" w:ascii="仿宋_GB2312" w:hAnsi="仿宋" w:eastAsia="仿宋_GB2312" w:cs="仿宋"/>
          <w:sz w:val="32"/>
          <w:szCs w:val="32"/>
        </w:rPr>
        <w:t xml:space="preserve">                         </w:t>
      </w:r>
      <w:r>
        <w:rPr>
          <w:rFonts w:ascii="仿宋_GB2312" w:hAnsi="仿宋" w:eastAsia="仿宋_GB2312" w:cs="仿宋"/>
          <w:sz w:val="32"/>
          <w:szCs w:val="32"/>
        </w:rPr>
        <w:t>201</w:t>
      </w:r>
      <w:r>
        <w:rPr>
          <w:rFonts w:hint="eastAsia" w:ascii="仿宋_GB2312" w:hAnsi="仿宋" w:eastAsia="仿宋_GB2312" w:cs="仿宋"/>
          <w:sz w:val="32"/>
          <w:szCs w:val="32"/>
        </w:rPr>
        <w:t>8</w:t>
      </w:r>
      <w:r>
        <w:rPr>
          <w:rFonts w:ascii="仿宋_GB2312" w:hAnsi="仿宋" w:eastAsia="仿宋_GB2312" w:cs="仿宋"/>
          <w:sz w:val="32"/>
          <w:szCs w:val="32"/>
        </w:rPr>
        <w:t>年</w:t>
      </w:r>
      <w:r>
        <w:rPr>
          <w:rFonts w:hint="eastAsia" w:ascii="仿宋_GB2312" w:hAnsi="仿宋" w:eastAsia="仿宋_GB2312" w:cs="仿宋"/>
          <w:sz w:val="32"/>
          <w:szCs w:val="32"/>
          <w:lang w:val="en-US" w:eastAsia="zh-CN"/>
        </w:rPr>
        <w:t>6</w:t>
      </w:r>
      <w:r>
        <w:rPr>
          <w:rFonts w:ascii="仿宋_GB2312" w:hAnsi="仿宋" w:eastAsia="仿宋_GB2312" w:cs="仿宋"/>
          <w:sz w:val="32"/>
          <w:szCs w:val="32"/>
        </w:rPr>
        <w:t>月</w:t>
      </w:r>
      <w:r>
        <w:rPr>
          <w:rFonts w:hint="eastAsia" w:ascii="仿宋_GB2312" w:hAnsi="仿宋" w:eastAsia="仿宋_GB2312" w:cs="仿宋"/>
          <w:sz w:val="32"/>
          <w:szCs w:val="32"/>
          <w:lang w:val="en-US" w:eastAsia="zh-CN"/>
        </w:rPr>
        <w:t>11</w:t>
      </w:r>
      <w:r>
        <w:rPr>
          <w:rFonts w:ascii="仿宋_GB2312" w:hAnsi="仿宋" w:eastAsia="仿宋_GB2312" w:cs="仿宋"/>
          <w:sz w:val="32"/>
          <w:szCs w:val="32"/>
        </w:rPr>
        <w:t>日</w:t>
      </w:r>
    </w:p>
    <w:p>
      <w:pPr>
        <w:spacing w:line="560" w:lineRule="exact"/>
        <w:jc w:val="left"/>
        <w:rPr>
          <w:rFonts w:hint="eastAsia" w:ascii="华文中宋" w:hAnsi="华文中宋" w:eastAsia="华文中宋" w:cs="黑体"/>
          <w:b/>
          <w:sz w:val="36"/>
          <w:szCs w:val="36"/>
          <w:lang w:eastAsia="zh-CN"/>
        </w:rPr>
      </w:pPr>
      <w:r>
        <w:rPr>
          <w:rFonts w:hint="eastAsia" w:ascii="华文中宋" w:hAnsi="华文中宋" w:eastAsia="华文中宋" w:cs="黑体"/>
          <w:b/>
          <w:sz w:val="36"/>
          <w:szCs w:val="36"/>
          <w:lang w:eastAsia="zh-CN"/>
        </w:rPr>
        <w:t>附件</w:t>
      </w:r>
    </w:p>
    <w:p>
      <w:pPr>
        <w:spacing w:line="560" w:lineRule="exact"/>
        <w:jc w:val="center"/>
        <w:rPr>
          <w:rFonts w:hint="eastAsia" w:ascii="华文中宋" w:hAnsi="华文中宋" w:eastAsia="华文中宋" w:cs="黑体"/>
          <w:b/>
          <w:sz w:val="36"/>
          <w:szCs w:val="36"/>
          <w:lang w:eastAsia="zh-CN"/>
        </w:rPr>
      </w:pPr>
      <w:r>
        <w:rPr>
          <w:rFonts w:hint="eastAsia" w:ascii="华文中宋" w:hAnsi="华文中宋" w:eastAsia="华文中宋" w:cs="黑体"/>
          <w:b/>
          <w:sz w:val="36"/>
          <w:szCs w:val="36"/>
          <w:lang w:eastAsia="zh-CN"/>
        </w:rPr>
        <w:t>上海电子信息职业技术学院</w:t>
      </w:r>
    </w:p>
    <w:p>
      <w:pPr>
        <w:spacing w:line="560" w:lineRule="exact"/>
        <w:jc w:val="center"/>
        <w:rPr>
          <w:rFonts w:hint="eastAsia" w:ascii="华文中宋" w:hAnsi="华文中宋" w:eastAsia="华文中宋" w:cs="黑体"/>
          <w:b/>
          <w:w w:val="90"/>
          <w:sz w:val="36"/>
          <w:szCs w:val="36"/>
          <w:lang w:eastAsia="zh-CN"/>
        </w:rPr>
      </w:pPr>
      <w:r>
        <w:rPr>
          <w:rFonts w:hint="eastAsia" w:ascii="华文中宋" w:hAnsi="华文中宋" w:eastAsia="华文中宋" w:cs="黑体"/>
          <w:b/>
          <w:w w:val="90"/>
          <w:sz w:val="36"/>
          <w:szCs w:val="36"/>
          <w:lang w:eastAsia="zh-CN"/>
        </w:rPr>
        <w:t>关于加强全面从严治党“四责协同”机制建设的实施意见</w:t>
      </w:r>
    </w:p>
    <w:p>
      <w:pPr>
        <w:spacing w:before="156" w:beforeLines="50" w:line="50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为深入贯彻落实习近平新时代中国特色社会主义思想和党的十九大精神以及上海市第十一次党代会精神</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建立健全党委主体责任、纪委监督责任、党委书记第一责任、班子成员一岗双责的“四责协同”机制，不断推动深化全面从严治党向纵深发展，结合学院工作实际，现制定实施意见如下。</w:t>
      </w:r>
    </w:p>
    <w:p>
      <w:pPr>
        <w:spacing w:line="560" w:lineRule="exact"/>
        <w:rPr>
          <w:rFonts w:hint="eastAsia" w:ascii="Calibri" w:hAnsi="Calibri" w:eastAsia="仿宋_GB2312"/>
          <w:b/>
          <w:bCs/>
          <w:sz w:val="32"/>
          <w:szCs w:val="30"/>
        </w:rPr>
      </w:pPr>
      <w:r>
        <w:rPr>
          <w:rFonts w:hint="eastAsia" w:ascii="Calibri" w:hAnsi="Calibri" w:eastAsia="仿宋_GB2312"/>
          <w:b/>
          <w:bCs/>
          <w:sz w:val="32"/>
          <w:szCs w:val="30"/>
        </w:rPr>
        <w:t>一、指导思想</w:t>
      </w:r>
    </w:p>
    <w:p>
      <w:pPr>
        <w:spacing w:before="156" w:beforeLines="50" w:line="50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学院党委、纪委、党委书记、班子成员要以习近平新时代中国特色社会主义思想为指导，增强“四个意识”，坚定“四个自信”，认真贯彻落实市教卫工作党委要求，自觉维护以习近平同志为核心的党中央权威和集中统一领导，自觉遵循习近平治国理政新理念新思想新战略，始终同党中央保持高度一致</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把落实全面从严治党主体责任作为重大政治任务，既做好全面从严治党的决策者和领导者，又当好执行者和推动者。</w:t>
      </w:r>
    </w:p>
    <w:p>
      <w:pPr>
        <w:spacing w:line="560" w:lineRule="exact"/>
        <w:rPr>
          <w:rFonts w:hint="eastAsia" w:ascii="Calibri" w:hAnsi="Calibri" w:eastAsia="仿宋_GB2312"/>
          <w:b/>
          <w:bCs/>
          <w:sz w:val="32"/>
          <w:szCs w:val="30"/>
        </w:rPr>
      </w:pPr>
      <w:r>
        <w:rPr>
          <w:rFonts w:hint="eastAsia" w:ascii="Calibri" w:hAnsi="Calibri" w:eastAsia="仿宋_GB2312"/>
          <w:b/>
          <w:bCs/>
          <w:sz w:val="32"/>
          <w:szCs w:val="30"/>
        </w:rPr>
        <w:t>二、总体要求</w:t>
      </w:r>
    </w:p>
    <w:p>
      <w:pPr>
        <w:spacing w:before="156" w:beforeLines="50" w:line="50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构建“四责协同”的责任体系是推进全面从严治党的一项新的生动实践。党委主体责任是纲，体现在抓全面从严治党战略的谋划部署，体现在抓纪委监督责任、党委书记第一责任、班子成员“一岗双责”落实的全面领导和组织上；纪委监督责任是保证，体现在对党委主体责任、党委书记第一责任、班子成员“一岗双责”落实的协调推进、督促落实、问责追责上；党委书记第一责任是关键，体现在党委书记亲自牵头全面从严治党战略谋划的组织落实，并对纪委监督责任、班子成员“一岗双责”进行督办上；班子成员“一岗双责”是基础，体现在班子成员要主动承担分管领域全面从严治党的职责，管业务的同时也要带好队伍上。四个责任是有机整体</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必须同轴运转、同频共振、同向推进。</w:t>
      </w:r>
    </w:p>
    <w:p>
      <w:pPr>
        <w:spacing w:before="156" w:beforeLines="50" w:line="50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党委要将“主体责任”放在心中。要抓好学院的全面从严治党工作的总体部署和推进落实，强化责任分解、检查考核、责任追究；要压紧压实意识形态工作、基层党建工作、党风廉政建设和党内监督工作主体责任(以下</w:t>
      </w:r>
      <w:r>
        <w:rPr>
          <w:rFonts w:hint="eastAsia" w:ascii="仿宋_GB2312" w:hAnsi="宋体" w:eastAsia="仿宋_GB2312" w:cs="宋体"/>
          <w:kern w:val="0"/>
          <w:sz w:val="32"/>
          <w:szCs w:val="32"/>
          <w:lang w:eastAsia="zh-CN"/>
        </w:rPr>
        <w:t>简</w:t>
      </w:r>
      <w:r>
        <w:rPr>
          <w:rFonts w:hint="eastAsia" w:ascii="仿宋_GB2312" w:hAnsi="宋体" w:eastAsia="仿宋_GB2312" w:cs="宋体"/>
          <w:kern w:val="0"/>
          <w:sz w:val="32"/>
          <w:szCs w:val="32"/>
        </w:rPr>
        <w:t>称“三大主体责任”)，健全完善“三大主体责任同部署、同推进、同考核的“三同机制”；要巩固拓展落实中央八项规定精神成果，继续整治“四风”问题。把权力关进制度的笼子里，加强对重点领域和关键环节的监管；要领导和支持纪检组织查处违纪违法问题，支持纪检组织聚焦主责主业，推进“三转”工作到位。做好反腐倡廉宣传教育工作，抓好督促检查；要形成党委全面监督、纪检组织专责监督、党的工作部门职能监督、党的基层组织日常监督、党员民主监督的党内监督体系，确保权力在“刚性”的制度笼子里运行，有效防止腐败。</w:t>
      </w:r>
    </w:p>
    <w:p>
      <w:pPr>
        <w:spacing w:before="156" w:beforeLines="50" w:line="50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纪委要将“监督责任”扛在肩上。要发挥好党内监督专责机关的作用，强化监督执纪问责。把党的政治建设摆在首位，坚决维护以习近平同志为核心的党中央权威和集中统一领导，加强对党的十九大精神贯彻落实和党章党规执行情况的监督检查，加强对中央、市委和市教卫工作党委重要决策部署落实情况的监督检查，加强对关键少数的监督，加强对干部选拔任用情况的监督，加强对中央八项规定精神、实施细则和反对“四风”落实情况的监督检查。高举监督执纪问责的利剑，切实运用好监督执纪问责的“四种形态”，通过咬耳扯袖、红脸出汗等常态化教育，早提醒、早查处，抓早抓小抓苗头，筑牢拒腐防变第一道堤坝。</w:t>
      </w:r>
    </w:p>
    <w:p>
      <w:pPr>
        <w:spacing w:before="156" w:beforeLines="50" w:line="50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党委书记要将“第一责任”抓在手中。党委书记要切实履行好管党治党第一责任，对党负责，对学院的政治生态负责，对干部健康成长负责。要把党建工作作为主题、主业，坚持既挂帅又出征，把党建作为最大政绩，在学院各项工作中见到党建工作真功夫、真实绩。要管班子、带队伍、作表率，做到重要工作亲自部署、重大问题亲自过问、重要环节亲自协调、重要案件亲自督办。</w:t>
      </w:r>
    </w:p>
    <w:p>
      <w:pPr>
        <w:spacing w:before="156" w:beforeLines="50" w:line="50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班子成员要将“一岗双责”落在</w:t>
      </w:r>
      <w:r>
        <w:rPr>
          <w:rFonts w:hint="eastAsia" w:ascii="仿宋_GB2312" w:hAnsi="宋体" w:eastAsia="仿宋_GB2312" w:cs="宋体"/>
          <w:color w:val="auto"/>
          <w:kern w:val="0"/>
          <w:sz w:val="32"/>
          <w:szCs w:val="32"/>
        </w:rPr>
        <w:t>事上</w:t>
      </w:r>
      <w:r>
        <w:rPr>
          <w:rFonts w:hint="eastAsia" w:ascii="仿宋_GB2312" w:hAnsi="宋体" w:eastAsia="仿宋_GB2312" w:cs="宋体"/>
          <w:kern w:val="0"/>
          <w:sz w:val="32"/>
          <w:szCs w:val="32"/>
        </w:rPr>
        <w:t>。班子成员要把落实“一岗双责”作为一项政治纪律来执行，既要承担业务工作，确保各项目标任务的完成，又要承担党风廉政建设和反腐败工作，确保队伍廉洁高效。要实现业务工作和党风廉政建设的同步发展，实现做事、管人、廉洁相结合，真正做到管党治党与业务工作同考虑、同部署、同实施、同检查，实现工作质量和队伍清正廉洁相统一。</w:t>
      </w:r>
    </w:p>
    <w:p>
      <w:pPr>
        <w:spacing w:line="560" w:lineRule="exact"/>
        <w:rPr>
          <w:rFonts w:hint="eastAsia" w:ascii="Calibri" w:hAnsi="Calibri" w:eastAsia="仿宋_GB2312"/>
          <w:b/>
          <w:bCs/>
          <w:sz w:val="32"/>
          <w:szCs w:val="30"/>
        </w:rPr>
      </w:pPr>
      <w:r>
        <w:rPr>
          <w:rFonts w:hint="eastAsia" w:ascii="Calibri" w:hAnsi="Calibri" w:eastAsia="仿宋_GB2312"/>
          <w:b/>
          <w:bCs/>
          <w:sz w:val="32"/>
          <w:szCs w:val="30"/>
        </w:rPr>
        <w:t>三、工作机制</w:t>
      </w:r>
    </w:p>
    <w:p>
      <w:pPr>
        <w:spacing w:before="156" w:beforeLines="50" w:line="50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“四责协同”的核心在协调同步同向同力上，关键是通过构建长效工作机制，形成知责、明责、履责、尽责、督责、问责的闭环，知责明责更清晰、履责尽责更到位、督责问责更有力。</w:t>
      </w:r>
    </w:p>
    <w:p>
      <w:pPr>
        <w:spacing w:line="560" w:lineRule="exact"/>
        <w:rPr>
          <w:rFonts w:hint="eastAsia" w:ascii="Calibri" w:hAnsi="Calibri" w:eastAsia="仿宋_GB2312"/>
          <w:b/>
          <w:bCs/>
          <w:sz w:val="32"/>
          <w:szCs w:val="30"/>
        </w:rPr>
      </w:pPr>
      <w:r>
        <w:rPr>
          <w:rFonts w:hint="eastAsia" w:ascii="Calibri" w:hAnsi="Calibri" w:eastAsia="仿宋_GB2312"/>
          <w:b/>
          <w:bCs/>
          <w:sz w:val="32"/>
          <w:szCs w:val="30"/>
          <w:lang w:eastAsia="zh-CN"/>
        </w:rPr>
        <w:t>（一）</w:t>
      </w:r>
      <w:r>
        <w:rPr>
          <w:rFonts w:hint="eastAsia" w:ascii="Calibri" w:hAnsi="Calibri" w:eastAsia="仿宋_GB2312"/>
          <w:b/>
          <w:bCs/>
          <w:sz w:val="32"/>
          <w:szCs w:val="30"/>
        </w:rPr>
        <w:t>落实“3+N会议”为主的横向协同机制</w:t>
      </w:r>
    </w:p>
    <w:p>
      <w:pPr>
        <w:spacing w:before="156" w:beforeLines="50" w:line="50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一是每年至少召开三次专题会议。党委要发挥纲举目张的牵头抓总作用，每年年初、年中、年末分别召开专题会议，研究、总结全面从严治党工作任务，对工作推进情况进行跟踪问效，</w:t>
      </w:r>
      <w:bookmarkStart w:id="0" w:name="_GoBack"/>
      <w:bookmarkEnd w:id="0"/>
      <w:r>
        <w:rPr>
          <w:rFonts w:hint="eastAsia" w:ascii="仿宋_GB2312" w:hAnsi="宋体" w:eastAsia="仿宋_GB2312" w:cs="宋体"/>
          <w:kern w:val="0"/>
          <w:sz w:val="32"/>
          <w:szCs w:val="32"/>
        </w:rPr>
        <w:t>及时通报目标任务完成情况，形成年度工作闭环，推动各项工作落到实处。</w:t>
      </w:r>
    </w:p>
    <w:p>
      <w:pPr>
        <w:spacing w:before="156" w:beforeLines="50" w:line="50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二是定期与不定期召开专门会议。党委根据全面从严治党的新形势新任务新要求和工作需要，定期不定期召开专门会议，听取纪委关于党内政治生活状况、开展监督执纪问责以及其他部门开展职能监督、落实全面从严治党重点目标任务等情况的报告，班子成员共同研究解决履责过程中的具体问题，找准净化政治生态的举措，着力解决党的领导弱化、缺失等问题，着力解决治党不力、观念淡薄、组织涣散、纪律松弛和宽松软等问题。</w:t>
      </w:r>
    </w:p>
    <w:p>
      <w:pPr>
        <w:spacing w:line="560" w:lineRule="exact"/>
        <w:rPr>
          <w:rFonts w:hint="eastAsia" w:ascii="Calibri" w:hAnsi="Calibri" w:eastAsia="仿宋_GB2312"/>
          <w:b/>
          <w:bCs/>
          <w:sz w:val="32"/>
          <w:szCs w:val="30"/>
        </w:rPr>
      </w:pPr>
      <w:r>
        <w:rPr>
          <w:rFonts w:hint="eastAsia" w:ascii="Calibri" w:hAnsi="Calibri" w:eastAsia="仿宋_GB2312"/>
          <w:b/>
          <w:bCs/>
          <w:sz w:val="32"/>
          <w:szCs w:val="30"/>
          <w:lang w:eastAsia="zh-CN"/>
        </w:rPr>
        <w:t>（二）</w:t>
      </w:r>
      <w:r>
        <w:rPr>
          <w:rFonts w:hint="eastAsia" w:ascii="Calibri" w:hAnsi="Calibri" w:eastAsia="仿宋_GB2312"/>
          <w:b/>
          <w:bCs/>
          <w:sz w:val="32"/>
          <w:szCs w:val="30"/>
        </w:rPr>
        <w:t>构筑“责任传递、分级负责”的上下协同机制</w:t>
      </w:r>
    </w:p>
    <w:p>
      <w:pPr>
        <w:spacing w:before="156" w:beforeLines="50" w:line="50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一是不断健全抓主体责任传导工作体系。党委每年初召开全面从严治党工作会议，定期召开党总支书记例会，不定期召开专题推进会</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 xml:space="preserve">学习传达中央、市委和市教卫工作党委的相关精神和工作要求，研究部署工作，有效实现上下协同，责任压力的传递， </w:t>
      </w:r>
    </w:p>
    <w:p>
      <w:pPr>
        <w:spacing w:before="156" w:beforeLines="50" w:line="50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二是巩固落实“三大主体责任”制度体系。把抓好意识形态工作、基层党建工作、党风廉政建设和党内监督工作“三大主体责任”落实作为现阶段全面从严治党的重中之重，巩固“三大主体责任”同部署、同推进、同考核的“三同机制”。印发学校“三大主体责任”责任清单、任务清单和制度清单</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各个二级学院也要根据实际情况制定三个清单，明确责任和任务，逐条对照落实，完善相关制度，学院对落实情况进行考核和检查。</w:t>
      </w:r>
    </w:p>
    <w:p>
      <w:pPr>
        <w:spacing w:before="156" w:beforeLines="50" w:line="50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三是坚持完善班子成员“四书四会三报告”制度。要落实好“四书”制度，针对分管工作中一些廉政风险系数高、易发生腐败行为和不正之风的重点领域以及群众反映强烈的突出问题，制订廉政承诺书、责任计划书、责任项目书，并通过自我评价，填写总结评议书，检验推进落实情况，确保各项任务落到实处。要落实好“四会”制度，年初召开全面从严治党分析研究会、责任计划审议会，年中召开责任落实推进会，年末召开责任总结评议会。要落实好“三报告”制度</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班子成员在民主生活会上开展述责述廉、汇报主体责任落实情况等，党委要以书面形式向上级党委和纪委报告全面从严治党主体责任落实情况，次年年初党委书记在年度全面从严治党工作会议上作工作报告。</w:t>
      </w:r>
    </w:p>
    <w:p>
      <w:pPr>
        <w:spacing w:line="560" w:lineRule="exact"/>
        <w:rPr>
          <w:rFonts w:hint="eastAsia" w:ascii="Calibri" w:hAnsi="Calibri" w:eastAsia="仿宋_GB2312"/>
          <w:b/>
          <w:bCs/>
          <w:sz w:val="32"/>
          <w:szCs w:val="30"/>
        </w:rPr>
      </w:pPr>
      <w:r>
        <w:rPr>
          <w:rFonts w:hint="eastAsia" w:ascii="Calibri" w:hAnsi="Calibri" w:eastAsia="仿宋_GB2312"/>
          <w:b/>
          <w:bCs/>
          <w:sz w:val="32"/>
          <w:szCs w:val="30"/>
          <w:lang w:eastAsia="zh-CN"/>
        </w:rPr>
        <w:t>（三）</w:t>
      </w:r>
      <w:r>
        <w:rPr>
          <w:rFonts w:hint="eastAsia" w:ascii="Calibri" w:hAnsi="Calibri" w:eastAsia="仿宋_GB2312"/>
          <w:b/>
          <w:bCs/>
          <w:sz w:val="32"/>
          <w:szCs w:val="30"/>
        </w:rPr>
        <w:t>落实“巡察整改+专项检查”的协同检查机制</w:t>
      </w:r>
    </w:p>
    <w:p>
      <w:pPr>
        <w:spacing w:before="156" w:beforeLines="50" w:line="50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是持续开展自查自纠和巡察整改工作。认真抓好自查自纠和巡察整改，全面推进落实。学院要聚焦“2+4+4”(“两个责任”落实、二级院系党组织作用发挥；校属资产管理、后勤保障、基本建设、科研经费管理；财务管理、招生录取、校办企业、专项资金使用管理)等重点领域和关键环节，持续开展专项整治，督促巡察问题事项整改落实，举一反三，建章立制，堵塞漏洞。</w:t>
      </w:r>
    </w:p>
    <w:p>
      <w:pPr>
        <w:spacing w:before="156" w:beforeLines="50" w:line="50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二是完善财政专项资金、科研经费使用管理和招生录取等专项督查工作。健全完善并严格落实财政专项资金、科研经费、招生录取等重点领域和关键环节的相关制度和规范流程。对在督促检查中发现的落实主体责任工作重视不够、敷衍塞责、不抓不管、为官不为，造成重大损失、严重社会影响或发生严重违法违纪案件等情况的，依据有关规定予以严肃问责，通过问责督促其履职尽责。</w:t>
      </w:r>
    </w:p>
    <w:p>
      <w:pPr>
        <w:spacing w:line="560" w:lineRule="exact"/>
        <w:rPr>
          <w:rFonts w:hint="eastAsia" w:ascii="Calibri" w:hAnsi="Calibri" w:eastAsia="仿宋_GB2312"/>
          <w:b/>
          <w:bCs/>
          <w:sz w:val="32"/>
          <w:szCs w:val="30"/>
        </w:rPr>
      </w:pPr>
      <w:r>
        <w:rPr>
          <w:rFonts w:hint="eastAsia" w:ascii="Calibri" w:hAnsi="Calibri" w:eastAsia="仿宋_GB2312"/>
          <w:b/>
          <w:bCs/>
          <w:sz w:val="32"/>
          <w:szCs w:val="30"/>
        </w:rPr>
        <w:t>四、保障措施</w:t>
      </w:r>
    </w:p>
    <w:p>
      <w:pPr>
        <w:spacing w:line="560" w:lineRule="exact"/>
        <w:rPr>
          <w:rFonts w:hint="eastAsia" w:ascii="Calibri" w:hAnsi="Calibri" w:eastAsia="仿宋_GB2312"/>
          <w:b/>
          <w:bCs/>
          <w:sz w:val="32"/>
          <w:szCs w:val="30"/>
        </w:rPr>
      </w:pPr>
      <w:r>
        <w:rPr>
          <w:rFonts w:hint="eastAsia" w:ascii="Calibri" w:hAnsi="Calibri" w:eastAsia="仿宋_GB2312"/>
          <w:b/>
          <w:bCs/>
          <w:sz w:val="32"/>
          <w:szCs w:val="30"/>
          <w:lang w:eastAsia="zh-CN"/>
        </w:rPr>
        <w:t>（一）</w:t>
      </w:r>
      <w:r>
        <w:rPr>
          <w:rFonts w:hint="eastAsia" w:ascii="Calibri" w:hAnsi="Calibri" w:eastAsia="仿宋_GB2312"/>
          <w:b/>
          <w:bCs/>
          <w:sz w:val="32"/>
          <w:szCs w:val="30"/>
        </w:rPr>
        <w:t>加强组织领导</w:t>
      </w:r>
    </w:p>
    <w:p>
      <w:pPr>
        <w:spacing w:before="156" w:beforeLines="50" w:line="50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党委书记和党政班子成员要发挥廉洁自律表率作用</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坚持以加强党的建设引领、推动业务工作，通过抓党总支建设，层层传导压力、逐级落实责任。将“四责协同”机制推动落实情况作为各个党总支年度述职评议考核的重要内容。</w:t>
      </w:r>
    </w:p>
    <w:p>
      <w:pPr>
        <w:spacing w:line="560" w:lineRule="exact"/>
        <w:rPr>
          <w:rFonts w:hint="eastAsia" w:ascii="Calibri" w:hAnsi="Calibri" w:eastAsia="仿宋_GB2312"/>
          <w:b/>
          <w:bCs/>
          <w:sz w:val="32"/>
          <w:szCs w:val="30"/>
        </w:rPr>
      </w:pPr>
      <w:r>
        <w:rPr>
          <w:rFonts w:hint="eastAsia" w:ascii="Calibri" w:hAnsi="Calibri" w:eastAsia="仿宋_GB2312"/>
          <w:b/>
          <w:bCs/>
          <w:sz w:val="32"/>
          <w:szCs w:val="30"/>
          <w:lang w:eastAsia="zh-CN"/>
        </w:rPr>
        <w:t>（二）</w:t>
      </w:r>
      <w:r>
        <w:rPr>
          <w:rFonts w:hint="eastAsia" w:ascii="Calibri" w:hAnsi="Calibri" w:eastAsia="仿宋_GB2312"/>
          <w:b/>
          <w:bCs/>
          <w:sz w:val="32"/>
          <w:szCs w:val="30"/>
        </w:rPr>
        <w:t>形成工作合力</w:t>
      </w:r>
    </w:p>
    <w:p>
      <w:pPr>
        <w:spacing w:before="156" w:beforeLines="50" w:line="50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党委要自觉接受纪委的监督，积极支持纪委聚焦主责主业开展工作。纪委要主动向党委沟通监督执纪问责中的情况和问题，针对主体责任落实情况提出意见建议，协助党委做好巡察等工作。党委要结合自身实际，加强全面从严治党信息沟通，整合干部监督、信访举报、财务审计、政风行风等相关工作内容，形成工作合力。党委要加强对各党总支落实“四责协同”的检查考核，将落实本意见情况作为全面从严治党的重要内容进行督办，守好责任田。</w:t>
      </w:r>
    </w:p>
    <w:p>
      <w:pPr>
        <w:spacing w:line="560" w:lineRule="exact"/>
        <w:rPr>
          <w:rFonts w:hint="eastAsia" w:ascii="Calibri" w:hAnsi="Calibri" w:eastAsia="仿宋_GB2312"/>
          <w:b/>
          <w:bCs/>
          <w:sz w:val="32"/>
          <w:szCs w:val="30"/>
        </w:rPr>
      </w:pPr>
      <w:r>
        <w:rPr>
          <w:rFonts w:hint="eastAsia" w:ascii="Calibri" w:hAnsi="Calibri" w:eastAsia="仿宋_GB2312"/>
          <w:b/>
          <w:bCs/>
          <w:sz w:val="32"/>
          <w:szCs w:val="30"/>
          <w:lang w:eastAsia="zh-CN"/>
        </w:rPr>
        <w:t>（三）</w:t>
      </w:r>
      <w:r>
        <w:rPr>
          <w:rFonts w:hint="eastAsia" w:ascii="Calibri" w:hAnsi="Calibri" w:eastAsia="仿宋_GB2312"/>
          <w:b/>
          <w:bCs/>
          <w:sz w:val="32"/>
          <w:szCs w:val="30"/>
        </w:rPr>
        <w:t>加强请示报告</w:t>
      </w:r>
    </w:p>
    <w:p>
      <w:pPr>
        <w:spacing w:before="156" w:beforeLines="50" w:line="50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各二级学院党总支必须每年定期向学院党委报告全面从严治党主体责任落实情况，学院党委定期向市教卫工作党委报告落实全面从严治党“四责协同”工作情况</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发现干部相关问题线索及时向市教卫工作党委和纪委请示报告。学院纪委必须每年定期向市教卫工作纪委报告监督责任落实情况。党委、纪委按要求落实好全面从严治党主体责任和监督责任的“双报告”制度。</w:t>
      </w:r>
    </w:p>
    <w:p>
      <w:pPr>
        <w:spacing w:before="156" w:beforeLines="50" w:line="50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本意见自发布之日起试行。如上级制定出台新的相关规定</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则依上级精神为准。</w:t>
      </w:r>
    </w:p>
    <w:p>
      <w:pPr>
        <w:spacing w:line="500" w:lineRule="exac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 xml:space="preserve"> </w:t>
      </w:r>
    </w:p>
    <w:p>
      <w:pPr>
        <w:spacing w:line="500" w:lineRule="exact"/>
        <w:rPr>
          <w:rFonts w:hint="eastAsia" w:ascii="仿宋_GB2312" w:hAnsi="宋体" w:eastAsia="仿宋_GB2312" w:cs="宋体"/>
          <w:kern w:val="0"/>
          <w:sz w:val="32"/>
          <w:szCs w:val="32"/>
        </w:rPr>
      </w:pPr>
    </w:p>
    <w:p>
      <w:pPr>
        <w:spacing w:line="500" w:lineRule="exact"/>
        <w:ind w:firstLine="2560" w:firstLineChars="800"/>
        <w:rPr>
          <w:rFonts w:hint="eastAsia" w:ascii="仿宋_GB2312" w:hAnsi="仿宋" w:eastAsia="仿宋_GB2312" w:cs="仿宋"/>
          <w:sz w:val="32"/>
          <w:szCs w:val="32"/>
        </w:rPr>
      </w:pPr>
      <w:r>
        <w:rPr>
          <w:rFonts w:hint="eastAsia" w:ascii="仿宋_GB2312" w:hAnsi="宋体" w:eastAsia="仿宋_GB2312" w:cs="宋体"/>
          <w:kern w:val="0"/>
          <w:sz w:val="32"/>
          <w:szCs w:val="32"/>
        </w:rPr>
        <w:t xml:space="preserve"> </w:t>
      </w:r>
      <w:r>
        <w:rPr>
          <w:rFonts w:hint="eastAsia" w:ascii="仿宋_GB2312" w:hAnsi="仿宋" w:eastAsia="仿宋_GB2312" w:cs="仿宋"/>
          <w:sz w:val="32"/>
          <w:szCs w:val="32"/>
        </w:rPr>
        <w:t>中共上海电子信息职业技术学院委员会</w:t>
      </w:r>
    </w:p>
    <w:p>
      <w:pPr>
        <w:spacing w:before="156" w:beforeLines="50" w:line="500" w:lineRule="exact"/>
        <w:ind w:firstLine="4160" w:firstLineChars="13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2018年6月8日</w:t>
      </w:r>
    </w:p>
    <w:p>
      <w:pPr>
        <w:spacing w:before="156" w:beforeLines="50" w:line="500" w:lineRule="exact"/>
        <w:jc w:val="left"/>
        <w:rPr>
          <w:rFonts w:hint="eastAsia" w:ascii="仿宋_GB2312" w:hAnsi="宋体" w:eastAsia="仿宋_GB2312" w:cs="宋体"/>
          <w:kern w:val="0"/>
          <w:sz w:val="32"/>
          <w:szCs w:val="32"/>
        </w:rPr>
      </w:pPr>
    </w:p>
    <w:p>
      <w:pPr>
        <w:spacing w:before="156" w:beforeLines="50" w:line="500" w:lineRule="exact"/>
        <w:jc w:val="left"/>
        <w:rPr>
          <w:rFonts w:hint="eastAsia" w:ascii="仿宋_GB2312" w:hAnsi="宋体" w:eastAsia="仿宋_GB2312" w:cs="宋体"/>
          <w:kern w:val="0"/>
          <w:sz w:val="32"/>
          <w:szCs w:val="32"/>
        </w:rPr>
      </w:pPr>
    </w:p>
    <w:p>
      <w:pPr>
        <w:spacing w:before="156" w:beforeLines="50" w:line="500" w:lineRule="exact"/>
        <w:jc w:val="left"/>
        <w:rPr>
          <w:rFonts w:hint="eastAsia" w:ascii="仿宋_GB2312" w:hAnsi="宋体" w:eastAsia="仿宋_GB2312" w:cs="宋体"/>
          <w:kern w:val="0"/>
          <w:sz w:val="32"/>
          <w:szCs w:val="32"/>
        </w:rPr>
      </w:pPr>
    </w:p>
    <w:p>
      <w:pPr>
        <w:spacing w:before="156" w:beforeLines="50" w:line="500" w:lineRule="exact"/>
        <w:jc w:val="left"/>
        <w:rPr>
          <w:rFonts w:hint="eastAsia" w:ascii="仿宋_GB2312" w:hAnsi="宋体" w:eastAsia="仿宋_GB2312" w:cs="宋体"/>
          <w:kern w:val="0"/>
          <w:sz w:val="32"/>
          <w:szCs w:val="32"/>
        </w:rPr>
      </w:pPr>
    </w:p>
    <w:p>
      <w:pPr>
        <w:spacing w:before="156" w:beforeLines="50" w:line="500" w:lineRule="exact"/>
        <w:jc w:val="left"/>
        <w:rPr>
          <w:rFonts w:hint="eastAsia" w:ascii="仿宋_GB2312" w:hAnsi="宋体" w:eastAsia="仿宋_GB2312" w:cs="宋体"/>
          <w:kern w:val="0"/>
          <w:sz w:val="32"/>
          <w:szCs w:val="32"/>
        </w:rPr>
      </w:pPr>
    </w:p>
    <w:p>
      <w:pPr>
        <w:spacing w:before="156" w:beforeLines="50" w:line="500" w:lineRule="exact"/>
        <w:jc w:val="left"/>
        <w:rPr>
          <w:rFonts w:hint="eastAsia" w:ascii="仿宋_GB2312" w:hAnsi="宋体" w:eastAsia="仿宋_GB2312" w:cs="宋体"/>
          <w:kern w:val="0"/>
          <w:sz w:val="32"/>
          <w:szCs w:val="32"/>
        </w:rPr>
      </w:pPr>
    </w:p>
    <w:p>
      <w:pPr>
        <w:spacing w:before="156" w:beforeLines="50" w:line="500" w:lineRule="exact"/>
        <w:jc w:val="left"/>
        <w:rPr>
          <w:rFonts w:hint="eastAsia" w:ascii="仿宋_GB2312" w:hAnsi="宋体" w:eastAsia="仿宋_GB2312" w:cs="宋体"/>
          <w:kern w:val="0"/>
          <w:sz w:val="32"/>
          <w:szCs w:val="32"/>
        </w:rPr>
      </w:pPr>
    </w:p>
    <w:p>
      <w:pPr>
        <w:spacing w:before="156" w:beforeLines="50" w:line="500" w:lineRule="exact"/>
        <w:jc w:val="left"/>
        <w:rPr>
          <w:rFonts w:hint="eastAsia" w:ascii="仿宋_GB2312" w:hAnsi="宋体" w:eastAsia="仿宋_GB2312" w:cs="宋体"/>
          <w:kern w:val="0"/>
          <w:sz w:val="32"/>
          <w:szCs w:val="32"/>
        </w:rPr>
      </w:pPr>
    </w:p>
    <w:p>
      <w:pPr>
        <w:spacing w:before="156" w:beforeLines="50" w:line="500" w:lineRule="exact"/>
        <w:jc w:val="left"/>
        <w:rPr>
          <w:rFonts w:hint="eastAsia" w:ascii="仿宋_GB2312" w:hAnsi="宋体" w:eastAsia="仿宋_GB2312" w:cs="宋体"/>
          <w:kern w:val="0"/>
          <w:sz w:val="32"/>
          <w:szCs w:val="32"/>
        </w:rPr>
      </w:pPr>
    </w:p>
    <w:p>
      <w:pPr>
        <w:spacing w:before="156" w:beforeLines="50" w:line="500" w:lineRule="exact"/>
        <w:jc w:val="left"/>
        <w:rPr>
          <w:rFonts w:hint="eastAsia" w:ascii="仿宋_GB2312" w:hAnsi="宋体" w:eastAsia="仿宋_GB2312" w:cs="宋体"/>
          <w:kern w:val="0"/>
          <w:sz w:val="32"/>
          <w:szCs w:val="32"/>
        </w:rPr>
      </w:pPr>
    </w:p>
    <w:p>
      <w:pPr>
        <w:spacing w:before="156" w:beforeLines="50" w:line="500" w:lineRule="exact"/>
        <w:jc w:val="left"/>
        <w:rPr>
          <w:rFonts w:hint="eastAsia" w:ascii="仿宋_GB2312" w:hAnsi="宋体" w:eastAsia="仿宋_GB2312" w:cs="宋体"/>
          <w:kern w:val="0"/>
          <w:sz w:val="32"/>
          <w:szCs w:val="32"/>
        </w:rPr>
      </w:pPr>
    </w:p>
    <w:p>
      <w:pPr>
        <w:spacing w:before="156" w:beforeLines="50" w:line="500" w:lineRule="exact"/>
        <w:jc w:val="left"/>
        <w:rPr>
          <w:rFonts w:hint="eastAsia" w:ascii="仿宋_GB2312" w:hAnsi="宋体" w:eastAsia="仿宋_GB2312" w:cs="宋体"/>
          <w:kern w:val="0"/>
          <w:sz w:val="32"/>
          <w:szCs w:val="32"/>
        </w:rPr>
      </w:pPr>
    </w:p>
    <w:p>
      <w:pPr>
        <w:spacing w:before="156" w:beforeLines="50" w:line="500" w:lineRule="exact"/>
        <w:jc w:val="left"/>
        <w:rPr>
          <w:rFonts w:hint="eastAsia" w:ascii="仿宋_GB2312" w:hAnsi="宋体" w:eastAsia="仿宋_GB2312" w:cs="宋体"/>
          <w:kern w:val="0"/>
          <w:sz w:val="32"/>
          <w:szCs w:val="32"/>
        </w:rPr>
      </w:pPr>
    </w:p>
    <w:p>
      <w:pPr>
        <w:spacing w:before="156" w:beforeLines="50" w:line="500" w:lineRule="exact"/>
        <w:jc w:val="left"/>
        <w:rPr>
          <w:rFonts w:hint="eastAsia" w:ascii="仿宋_GB2312" w:hAnsi="宋体" w:eastAsia="仿宋_GB2312" w:cs="宋体"/>
          <w:kern w:val="0"/>
          <w:sz w:val="32"/>
          <w:szCs w:val="32"/>
        </w:rPr>
      </w:pPr>
    </w:p>
    <w:p>
      <w:pPr>
        <w:spacing w:before="156" w:beforeLines="50" w:line="500" w:lineRule="exact"/>
        <w:jc w:val="left"/>
        <w:rPr>
          <w:rFonts w:hint="eastAsia" w:ascii="仿宋_GB2312" w:hAnsi="宋体" w:eastAsia="仿宋_GB2312" w:cs="宋体"/>
          <w:kern w:val="0"/>
          <w:sz w:val="32"/>
          <w:szCs w:val="32"/>
        </w:rPr>
      </w:pPr>
    </w:p>
    <w:p>
      <w:pPr>
        <w:spacing w:before="156" w:beforeLines="50" w:line="500" w:lineRule="exact"/>
        <w:jc w:val="left"/>
        <w:rPr>
          <w:rFonts w:hint="eastAsia" w:ascii="仿宋_GB2312" w:hAnsi="宋体" w:eastAsia="仿宋_GB2312" w:cs="宋体"/>
          <w:kern w:val="0"/>
          <w:sz w:val="32"/>
          <w:szCs w:val="32"/>
        </w:rPr>
      </w:pPr>
    </w:p>
    <w:p>
      <w:pPr>
        <w:spacing w:before="156" w:beforeLines="50" w:line="500" w:lineRule="exact"/>
        <w:jc w:val="left"/>
        <w:rPr>
          <w:rFonts w:hint="eastAsia" w:ascii="仿宋_GB2312" w:hAnsi="宋体" w:eastAsia="仿宋_GB2312" w:cs="宋体"/>
          <w:kern w:val="0"/>
          <w:sz w:val="32"/>
          <w:szCs w:val="32"/>
        </w:rPr>
      </w:pPr>
    </w:p>
    <w:p>
      <w:pPr>
        <w:spacing w:before="156" w:beforeLines="50" w:line="500" w:lineRule="exact"/>
        <w:jc w:val="left"/>
        <w:rPr>
          <w:rFonts w:hint="eastAsia" w:ascii="仿宋_GB2312" w:hAnsi="宋体" w:eastAsia="仿宋_GB2312" w:cs="宋体"/>
          <w:kern w:val="0"/>
          <w:sz w:val="32"/>
          <w:szCs w:val="32"/>
        </w:rPr>
      </w:pPr>
    </w:p>
    <w:p>
      <w:pPr>
        <w:jc w:val="left"/>
        <w:rPr>
          <w:rFonts w:hint="eastAsia" w:ascii="黑体" w:eastAsia="黑体"/>
          <w:b/>
          <w:sz w:val="32"/>
          <w:szCs w:val="32"/>
        </w:rPr>
      </w:pPr>
    </w:p>
    <w:p>
      <w:pPr>
        <w:jc w:val="left"/>
        <w:rPr>
          <w:rFonts w:ascii="黑体" w:eastAsia="黑体"/>
          <w:b/>
          <w:sz w:val="32"/>
          <w:szCs w:val="32"/>
        </w:rPr>
      </w:pPr>
      <w:r>
        <w:rPr>
          <w:rFonts w:ascii="Calibri"/>
        </w:rPr>
        <w:pict>
          <v:line id="_x0000_s1026" o:spid="_x0000_s1026" o:spt="20" style="position:absolute;left:0pt;flip:y;margin-left:0pt;margin-top:29.9pt;height:0.15pt;width:432pt;z-index:251658240;mso-width-relative:page;mso-height-relative:page;" filled="f" stroked="t" coordsize="21600,21600" o:gfxdata="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FmiNbdQAAAAGAQAADwAAAAAAAAABACAAAAAiAAAA&#10;ZHJzL2Rvd25yZXYueG1sUEsBAhQAFAAAAAgAh07iQC0vytHSAQAAmwMAAA4AAAAAAAAAAQAgAAAA&#10;IwEAAGRycy9lMm9Eb2MueG1sUEsFBgAAAAAGAAYAWQEAAGcFAAAAAA==&#10;">
            <v:path arrowok="t"/>
            <v:fill on="f" focussize="0,0"/>
            <v:stroke weight="1.5pt"/>
            <v:imagedata o:title=""/>
            <o:lock v:ext="edit" aspectratio="f"/>
          </v:line>
        </w:pict>
      </w:r>
    </w:p>
    <w:p>
      <w:pPr>
        <w:rPr>
          <w:rFonts w:hint="eastAsia" w:ascii="仿宋_GB2312" w:hAnsi="宋体" w:eastAsia="仿宋_GB2312" w:cs="宋体"/>
          <w:kern w:val="0"/>
          <w:sz w:val="32"/>
          <w:szCs w:val="32"/>
        </w:rPr>
      </w:pPr>
      <w:r>
        <w:rPr>
          <w:rFonts w:ascii="仿宋_GB2312" w:hAnsi="仿宋_GB2312" w:eastAsia="仿宋_GB2312" w:cs="仿宋_GB2312"/>
          <w:sz w:val="28"/>
          <w:szCs w:val="28"/>
        </w:rPr>
        <w:pict>
          <v:line id="_x0000_s1027" o:spid="_x0000_s1027" o:spt="20" style="position:absolute;left:0pt;flip:y;margin-left:0.75pt;margin-top:28.65pt;height:0.15pt;width:432pt;z-index:251659264;mso-width-relative:page;mso-height-relative:page;" filled="f" stroked="t" coordsize="21600,21600" o:gfxdata="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OOyXjHTAAAABwEAAA8AAAAAAAAAAQAgAAAAIgAA&#10;AGRycy9kb3ducmV2LnhtbFBLAQIUABQAAAAIAIdO4kCrvmwH1AEAAJsDAAAOAAAAAAAAAAEAIAAA&#10;ACIBAABkcnMvZTJvRG9jLnhtbFBLBQYAAAAABgAGAFkBAABoBQAAAAA=&#10;">
            <v:path arrowok="t"/>
            <v:fill on="f" focussize="0,0"/>
            <v:stroke weight="1.5pt"/>
            <v:imagedata o:title=""/>
            <o:lock v:ext="edit" aspectratio="f"/>
          </v:line>
        </w:pict>
      </w:r>
      <w:r>
        <w:rPr>
          <w:rFonts w:hint="eastAsia" w:eastAsia="仿宋_GB2312"/>
          <w:w w:val="80"/>
          <w:sz w:val="30"/>
          <w:szCs w:val="30"/>
        </w:rPr>
        <w:t xml:space="preserve">中共上海电子信息职业技术学院委员会办公室           </w:t>
      </w:r>
      <w:r>
        <w:rPr>
          <w:rFonts w:eastAsia="仿宋_GB2312"/>
          <w:w w:val="80"/>
          <w:sz w:val="30"/>
          <w:szCs w:val="30"/>
        </w:rPr>
        <w:t>201</w:t>
      </w:r>
      <w:r>
        <w:rPr>
          <w:rFonts w:hint="eastAsia" w:eastAsia="仿宋_GB2312"/>
          <w:w w:val="80"/>
          <w:sz w:val="30"/>
          <w:szCs w:val="30"/>
        </w:rPr>
        <w:t>8年6月8日印发</w:t>
      </w: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华文仿宋">
    <w:altName w:val="仿宋"/>
    <w:panose1 w:val="02010600040101010101"/>
    <w:charset w:val="86"/>
    <w:family w:val="auto"/>
    <w:pitch w:val="default"/>
    <w:sig w:usb0="00000000" w:usb1="00000000" w:usb2="00000010" w:usb3="00000000" w:csb0="0004009F" w:csb1="00000000"/>
  </w:font>
  <w:font w:name="华文中宋">
    <w:altName w:val="宋体"/>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pict>
        <v:shape id="文本框 1" o:spid="_x0000_s2050" o:spt="202" type="#_x0000_t202" style="position:absolute;left:0pt;margin-top:-13.05pt;height:18.15pt;width:63.05pt;mso-position-horizontal:outside;mso-position-horizontal-relative:margin;mso-wrap-style:none;z-index:251658240;mso-width-relative:page;mso-height-relative:page;" filled="f" stroked="f" coordsize="21600,21600">
          <v:path/>
          <v:fill on="f" focussize="0,0"/>
          <v:stroke on="f"/>
          <v:imagedata o:title=""/>
          <o:lock v:ext="edit" aspectratio="f"/>
          <v:textbox inset="0mm,0mm,0mm,0mm" style="mso-fit-shape-to-text:t;">
            <w:txbxContent>
              <w:p>
                <w:pPr>
                  <w:snapToGrid w:val="0"/>
                  <w:rPr>
                    <w:rFonts w:hint="eastAsia"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1</w:t>
                </w:r>
                <w:r>
                  <w:rPr>
                    <w:rFonts w:hint="eastAsia" w:ascii="宋体" w:hAnsi="宋体" w:cs="宋体"/>
                    <w:sz w:val="28"/>
                    <w:szCs w:val="28"/>
                  </w:rPr>
                  <w:fldChar w:fldCharType="end"/>
                </w:r>
                <w:r>
                  <w:rPr>
                    <w:rFonts w:hint="eastAsia" w:ascii="宋体" w:hAnsi="宋体" w:cs="宋体"/>
                    <w:sz w:val="28"/>
                    <w:szCs w:val="28"/>
                  </w:rPr>
                  <w:t xml:space="preserve">  —</w:t>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622117"/>
    <w:rsid w:val="00000440"/>
    <w:rsid w:val="00041FD2"/>
    <w:rsid w:val="000C4AF0"/>
    <w:rsid w:val="0018315B"/>
    <w:rsid w:val="001B6613"/>
    <w:rsid w:val="001C6BAE"/>
    <w:rsid w:val="00244613"/>
    <w:rsid w:val="002A1CFA"/>
    <w:rsid w:val="00300FC2"/>
    <w:rsid w:val="003022ED"/>
    <w:rsid w:val="00310223"/>
    <w:rsid w:val="00344C9E"/>
    <w:rsid w:val="00362D9B"/>
    <w:rsid w:val="004236F3"/>
    <w:rsid w:val="00453AE7"/>
    <w:rsid w:val="004F78B2"/>
    <w:rsid w:val="00556392"/>
    <w:rsid w:val="00605F3F"/>
    <w:rsid w:val="00622117"/>
    <w:rsid w:val="006333EF"/>
    <w:rsid w:val="006437FB"/>
    <w:rsid w:val="00646DB5"/>
    <w:rsid w:val="006E0FFA"/>
    <w:rsid w:val="006E3499"/>
    <w:rsid w:val="006F6905"/>
    <w:rsid w:val="00741B93"/>
    <w:rsid w:val="00743494"/>
    <w:rsid w:val="00744C5C"/>
    <w:rsid w:val="00762806"/>
    <w:rsid w:val="00773225"/>
    <w:rsid w:val="007A4E25"/>
    <w:rsid w:val="007B3DEE"/>
    <w:rsid w:val="00826AEB"/>
    <w:rsid w:val="0083591B"/>
    <w:rsid w:val="00836C2D"/>
    <w:rsid w:val="00A638D3"/>
    <w:rsid w:val="00B27329"/>
    <w:rsid w:val="00B51A40"/>
    <w:rsid w:val="00B83837"/>
    <w:rsid w:val="00BF7FEA"/>
    <w:rsid w:val="00C01C41"/>
    <w:rsid w:val="00C22DBD"/>
    <w:rsid w:val="00C55E66"/>
    <w:rsid w:val="00C5654C"/>
    <w:rsid w:val="00CC62C2"/>
    <w:rsid w:val="00CE4AB1"/>
    <w:rsid w:val="00D57D88"/>
    <w:rsid w:val="00E35884"/>
    <w:rsid w:val="00E516D0"/>
    <w:rsid w:val="00E73127"/>
    <w:rsid w:val="00EA3832"/>
    <w:rsid w:val="00EB785C"/>
    <w:rsid w:val="00F2346A"/>
    <w:rsid w:val="00F47B3E"/>
    <w:rsid w:val="00FA1E4A"/>
    <w:rsid w:val="00FE415F"/>
    <w:rsid w:val="06AC4DC5"/>
    <w:rsid w:val="07FC6B1A"/>
    <w:rsid w:val="08A536FA"/>
    <w:rsid w:val="0DE16624"/>
    <w:rsid w:val="0E22310A"/>
    <w:rsid w:val="0EE677DE"/>
    <w:rsid w:val="11F615AE"/>
    <w:rsid w:val="14E179A1"/>
    <w:rsid w:val="16C3371D"/>
    <w:rsid w:val="1AB973A0"/>
    <w:rsid w:val="206E17E3"/>
    <w:rsid w:val="216F7A88"/>
    <w:rsid w:val="257060D9"/>
    <w:rsid w:val="30A726C8"/>
    <w:rsid w:val="3D036A22"/>
    <w:rsid w:val="3F78589B"/>
    <w:rsid w:val="44B9242F"/>
    <w:rsid w:val="463E6E85"/>
    <w:rsid w:val="5AF3006E"/>
    <w:rsid w:val="5BE47E50"/>
    <w:rsid w:val="64084764"/>
    <w:rsid w:val="64357B63"/>
    <w:rsid w:val="654C3625"/>
    <w:rsid w:val="69556C3C"/>
    <w:rsid w:val="6E987820"/>
    <w:rsid w:val="6F7A164D"/>
    <w:rsid w:val="727837E2"/>
    <w:rsid w:val="73DF2CA5"/>
    <w:rsid w:val="744B646B"/>
    <w:rsid w:val="77D73295"/>
    <w:rsid w:val="7A0D26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semiHidden/>
    <w:unhideWhenUsed/>
    <w:uiPriority w:val="99"/>
    <w:pPr>
      <w:tabs>
        <w:tab w:val="center" w:pos="4153"/>
        <w:tab w:val="right" w:pos="8306"/>
      </w:tabs>
      <w:snapToGrid w:val="0"/>
      <w:jc w:val="left"/>
    </w:pPr>
    <w:rPr>
      <w:sz w:val="18"/>
    </w:rPr>
  </w:style>
  <w:style w:type="paragraph" w:styleId="3">
    <w:name w:val="header"/>
    <w:basedOn w:val="1"/>
    <w:semiHidden/>
    <w:unhideWhenUsed/>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5">
    <w:name w:val="page number"/>
    <w:basedOn w:val="4"/>
    <w:semiHidden/>
    <w:unhideWhenUsed/>
    <w:uiPriority w:val="99"/>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50" textRotate="1"/>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534</Words>
  <Characters>3045</Characters>
  <Lines>25</Lines>
  <Paragraphs>7</Paragraphs>
  <ScaleCrop>false</ScaleCrop>
  <LinksUpToDate>false</LinksUpToDate>
  <CharactersWithSpaces>3572</CharactersWithSpaces>
  <Application>WPS Office_10.1.0.7245_F1E327BC-269C-435d-A152-05C5408002CA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2018-05-09T00:38:00Z</dcterms:created>
  <dc:creator>lt</dc:creator>
  <cp:lastModifiedBy>Administrator</cp:lastModifiedBy>
  <cp:lastPrinted>2018-05-25T02:57:00Z</cp:lastPrinted>
  <dcterms:modified xsi:type="dcterms:W3CDTF">2018-06-12T01:30:39Z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2052-10.1.0.7245</vt:lpwstr>
  </property>
</Properties>
</file>